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7A0CCC">
        <w:rPr>
          <w:rFonts w:ascii="Arial" w:hAnsi="Arial" w:cs="Arial"/>
          <w:sz w:val="20"/>
          <w:szCs w:val="22"/>
        </w:rPr>
        <w:t>3</w:t>
      </w:r>
      <w:r w:rsidRPr="00754403">
        <w:rPr>
          <w:rFonts w:ascii="Arial" w:hAnsi="Arial" w:cs="Arial"/>
          <w:sz w:val="20"/>
          <w:szCs w:val="22"/>
        </w:rPr>
        <w:t xml:space="preserve"> </w:t>
      </w:r>
      <w:r w:rsidRPr="006E2DDD">
        <w:rPr>
          <w:rFonts w:ascii="Arial" w:hAnsi="Arial" w:cs="Arial"/>
          <w:sz w:val="20"/>
          <w:szCs w:val="22"/>
        </w:rPr>
        <w:t>к протоколу</w:t>
      </w:r>
    </w:p>
    <w:p w:rsidR="00754403" w:rsidRPr="006E2DDD" w:rsidRDefault="007A0CCC" w:rsidP="00754403">
      <w:pPr>
        <w:ind w:left="5400" w:firstLine="5400"/>
        <w:rPr>
          <w:rFonts w:ascii="Arial" w:hAnsi="Arial" w:cs="Arial"/>
          <w:sz w:val="20"/>
          <w:szCs w:val="22"/>
        </w:rPr>
      </w:pPr>
      <w:r>
        <w:rPr>
          <w:rFonts w:ascii="Arial" w:hAnsi="Arial" w:cs="Arial"/>
          <w:sz w:val="20"/>
          <w:szCs w:val="22"/>
        </w:rPr>
        <w:t>НТК</w:t>
      </w:r>
      <w:r w:rsidR="00767E92">
        <w:rPr>
          <w:rFonts w:ascii="Arial" w:hAnsi="Arial" w:cs="Arial"/>
          <w:sz w:val="20"/>
          <w:szCs w:val="22"/>
        </w:rPr>
        <w:t>ОС</w:t>
      </w:r>
      <w:bookmarkStart w:id="0" w:name="_GoBack"/>
      <w:bookmarkEnd w:id="0"/>
      <w:r>
        <w:rPr>
          <w:rFonts w:ascii="Arial" w:hAnsi="Arial" w:cs="Arial"/>
          <w:sz w:val="20"/>
          <w:szCs w:val="22"/>
        </w:rPr>
        <w:t xml:space="preserve"> </w:t>
      </w:r>
      <w:r w:rsidR="00754403" w:rsidRPr="006E2DDD">
        <w:rPr>
          <w:rFonts w:ascii="Arial" w:hAnsi="Arial" w:cs="Arial"/>
          <w:sz w:val="20"/>
          <w:szCs w:val="22"/>
        </w:rPr>
        <w:t xml:space="preserve">№ </w:t>
      </w:r>
      <w:r>
        <w:rPr>
          <w:rFonts w:ascii="Arial" w:hAnsi="Arial" w:cs="Arial"/>
          <w:sz w:val="20"/>
          <w:szCs w:val="22"/>
        </w:rPr>
        <w:t>44</w:t>
      </w:r>
      <w:r w:rsidR="00754403" w:rsidRPr="006E2DDD">
        <w:rPr>
          <w:rFonts w:ascii="Arial" w:hAnsi="Arial" w:cs="Arial"/>
          <w:sz w:val="20"/>
          <w:szCs w:val="22"/>
        </w:rPr>
        <w:t>-201</w:t>
      </w:r>
      <w:r w:rsidR="00392248">
        <w:rPr>
          <w:rFonts w:ascii="Arial" w:hAnsi="Arial" w:cs="Arial"/>
          <w:sz w:val="20"/>
          <w:szCs w:val="22"/>
        </w:rPr>
        <w:t>9</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r w:rsidR="007A0CCC">
        <w:rPr>
          <w:rFonts w:ascii="Arial" w:hAnsi="Arial" w:cs="Arial"/>
          <w:b/>
          <w:szCs w:val="28"/>
        </w:rPr>
        <w:t xml:space="preserve"> (разделы «Основные положения», «Оценка соответствия»)</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54"/>
        <w:gridCol w:w="5056"/>
        <w:gridCol w:w="24"/>
        <w:gridCol w:w="1576"/>
        <w:gridCol w:w="43"/>
        <w:gridCol w:w="1767"/>
        <w:gridCol w:w="5800"/>
        <w:gridCol w:w="46"/>
      </w:tblGrid>
      <w:tr w:rsidR="00E86CB4" w:rsidRPr="00A16984" w:rsidTr="004B7152">
        <w:trPr>
          <w:tblHeader/>
        </w:trPr>
        <w:tc>
          <w:tcPr>
            <w:tcW w:w="854" w:type="dxa"/>
          </w:tcPr>
          <w:p w:rsidR="00E86CB4" w:rsidRPr="00A16984" w:rsidRDefault="00E86CB4" w:rsidP="004B7152">
            <w:pPr>
              <w:jc w:val="center"/>
              <w:rPr>
                <w:rFonts w:ascii="Arial" w:hAnsi="Arial" w:cs="Arial"/>
                <w:b/>
                <w:sz w:val="20"/>
              </w:rPr>
            </w:pPr>
            <w:r w:rsidRPr="00A16984">
              <w:rPr>
                <w:rFonts w:ascii="Arial" w:hAnsi="Arial" w:cs="Arial"/>
                <w:b/>
                <w:sz w:val="20"/>
              </w:rPr>
              <w:t>№ п/п</w:t>
            </w:r>
          </w:p>
        </w:tc>
        <w:tc>
          <w:tcPr>
            <w:tcW w:w="5080"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19"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7152">
        <w:tblPrEx>
          <w:tblLook w:val="0000" w:firstRow="0" w:lastRow="0" w:firstColumn="0" w:lastColumn="0" w:noHBand="0" w:noVBand="0"/>
        </w:tblPrEx>
        <w:trPr>
          <w:trHeight w:val="342"/>
        </w:trPr>
        <w:tc>
          <w:tcPr>
            <w:tcW w:w="15166" w:type="dxa"/>
            <w:gridSpan w:val="8"/>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4B7152">
        <w:tblPrEx>
          <w:tblLook w:val="0000" w:firstRow="0" w:lastRow="0" w:firstColumn="0" w:lastColumn="0" w:noHBand="0" w:noVBand="0"/>
        </w:tblPrEx>
        <w:trPr>
          <w:trHeight w:val="530"/>
        </w:trPr>
        <w:tc>
          <w:tcPr>
            <w:tcW w:w="854" w:type="dxa"/>
            <w:vMerge w:val="restart"/>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56"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
        </w:tc>
        <w:tc>
          <w:tcPr>
            <w:tcW w:w="1643" w:type="dxa"/>
            <w:gridSpan w:val="3"/>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2"/>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4B7152">
        <w:tblPrEx>
          <w:tblLook w:val="0000" w:firstRow="0" w:lastRow="0" w:firstColumn="0" w:lastColumn="0" w:noHBand="0" w:noVBand="0"/>
        </w:tblPrEx>
        <w:trPr>
          <w:trHeight w:val="530"/>
        </w:trPr>
        <w:tc>
          <w:tcPr>
            <w:tcW w:w="854" w:type="dxa"/>
            <w:vMerge/>
          </w:tcPr>
          <w:p w:rsidR="004B7152" w:rsidRPr="00DA6F8E" w:rsidRDefault="004B7152" w:rsidP="004B7152">
            <w:pPr>
              <w:jc w:val="both"/>
              <w:rPr>
                <w:rFonts w:ascii="Arial" w:hAnsi="Arial" w:cs="Arial"/>
                <w:i/>
                <w:color w:val="595959" w:themeColor="text1" w:themeTint="A6"/>
                <w:sz w:val="20"/>
              </w:rPr>
            </w:pPr>
          </w:p>
        </w:tc>
        <w:tc>
          <w:tcPr>
            <w:tcW w:w="5056"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3"/>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2"/>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4B7152">
        <w:tblPrEx>
          <w:tblLook w:val="0000" w:firstRow="0" w:lastRow="0" w:firstColumn="0" w:lastColumn="0" w:noHBand="0" w:noVBand="0"/>
        </w:tblPrEx>
        <w:trPr>
          <w:trHeight w:val="530"/>
        </w:trPr>
        <w:tc>
          <w:tcPr>
            <w:tcW w:w="854" w:type="dxa"/>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56"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3"/>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2"/>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4B7152">
        <w:tblPrEx>
          <w:tblLook w:val="0000" w:firstRow="0" w:lastRow="0" w:firstColumn="0" w:lastColumn="0" w:noHBand="0" w:noVBand="0"/>
        </w:tblPrEx>
        <w:trPr>
          <w:trHeight w:val="530"/>
        </w:trPr>
        <w:tc>
          <w:tcPr>
            <w:tcW w:w="854" w:type="dxa"/>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56"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3"/>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2"/>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4B7152">
        <w:tblPrEx>
          <w:tblLook w:val="0000" w:firstRow="0" w:lastRow="0" w:firstColumn="0" w:lastColumn="0" w:noHBand="0" w:noVBand="0"/>
        </w:tblPrEx>
        <w:trPr>
          <w:trHeight w:val="530"/>
        </w:trPr>
        <w:tc>
          <w:tcPr>
            <w:tcW w:w="854" w:type="dxa"/>
          </w:tcPr>
          <w:p w:rsidR="00AD46FB" w:rsidRPr="00A16984" w:rsidRDefault="00AD46FB" w:rsidP="004B7152">
            <w:pPr>
              <w:jc w:val="both"/>
              <w:rPr>
                <w:rFonts w:ascii="Arial" w:hAnsi="Arial" w:cs="Arial"/>
                <w:sz w:val="20"/>
              </w:rPr>
            </w:pPr>
            <w:r>
              <w:rPr>
                <w:rFonts w:ascii="Arial" w:hAnsi="Arial" w:cs="Arial"/>
                <w:sz w:val="20"/>
              </w:rPr>
              <w:t>1.4.</w:t>
            </w:r>
          </w:p>
        </w:tc>
        <w:tc>
          <w:tcPr>
            <w:tcW w:w="5056" w:type="dxa"/>
          </w:tcPr>
          <w:p w:rsidR="00AD46FB" w:rsidRPr="00A16984" w:rsidRDefault="00AD46FB" w:rsidP="004B7152">
            <w:pPr>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3"/>
          </w:tcPr>
          <w:p w:rsidR="00AD46FB" w:rsidRPr="00A16984" w:rsidRDefault="00AD46FB" w:rsidP="004B7152">
            <w:pPr>
              <w:pStyle w:val="31"/>
              <w:ind w:firstLine="0"/>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4B7152">
            <w:pPr>
              <w:pStyle w:val="31"/>
              <w:ind w:firstLine="0"/>
              <w:rPr>
                <w:rFonts w:ascii="Arial" w:hAnsi="Arial" w:cs="Arial"/>
                <w:sz w:val="20"/>
              </w:rPr>
            </w:pPr>
          </w:p>
        </w:tc>
        <w:tc>
          <w:tcPr>
            <w:tcW w:w="1767" w:type="dxa"/>
          </w:tcPr>
          <w:p w:rsidR="00AD46FB" w:rsidRDefault="00AD46FB" w:rsidP="004B7152">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4B7152">
            <w:pPr>
              <w:pStyle w:val="31"/>
              <w:ind w:firstLine="0"/>
              <w:jc w:val="left"/>
              <w:rPr>
                <w:rFonts w:ascii="Arial" w:hAnsi="Arial" w:cs="Arial"/>
                <w:sz w:val="20"/>
              </w:rPr>
            </w:pPr>
            <w:r>
              <w:rPr>
                <w:rFonts w:ascii="Arial" w:hAnsi="Arial" w:cs="Arial"/>
                <w:sz w:val="20"/>
              </w:rPr>
              <w:t>ИК СНГ</w:t>
            </w:r>
          </w:p>
        </w:tc>
        <w:tc>
          <w:tcPr>
            <w:tcW w:w="5846" w:type="dxa"/>
            <w:gridSpan w:val="2"/>
          </w:tcPr>
          <w:p w:rsidR="00E47D4F" w:rsidRPr="00E47D4F" w:rsidRDefault="00E47D4F" w:rsidP="004B7152">
            <w:pPr>
              <w:jc w:val="both"/>
              <w:rPr>
                <w:rFonts w:ascii="Arial" w:hAnsi="Arial" w:cs="Arial"/>
                <w:color w:val="000000"/>
                <w:sz w:val="20"/>
              </w:rPr>
            </w:pPr>
            <w:r w:rsidRPr="00E47D4F">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sidRPr="00E47D4F">
              <w:rPr>
                <w:rFonts w:ascii="Arial" w:hAnsi="Arial" w:cs="Arial"/>
                <w:color w:val="000000"/>
                <w:sz w:val="20"/>
              </w:rPr>
              <w:t xml:space="preserve">для рассмотрения в установленном порядке (протоколы № 45-2014, пункт 15, № 49-2016, пункт 13). Проект Соглашения 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Соглашения был доработан. В настоящее время </w:t>
            </w:r>
            <w:r w:rsidRPr="00E47D4F">
              <w:rPr>
                <w:rFonts w:ascii="Arial" w:hAnsi="Arial" w:cs="Arial"/>
                <w:color w:val="000000"/>
                <w:sz w:val="20"/>
              </w:rPr>
              <w:lastRenderedPageBreak/>
              <w:t>доработанный проект Соглашения и предложения РГ ЗСТ по замечаниям и предложениям государств находиться в ИК СНГ.</w:t>
            </w:r>
          </w:p>
          <w:p w:rsidR="00E47D4F" w:rsidRPr="00E47D4F" w:rsidRDefault="00E47D4F" w:rsidP="004B7152">
            <w:pPr>
              <w:jc w:val="both"/>
              <w:rPr>
                <w:rFonts w:ascii="Arial" w:hAnsi="Arial" w:cs="Arial"/>
                <w:sz w:val="20"/>
              </w:rPr>
            </w:pPr>
            <w:r w:rsidRPr="00E47D4F">
              <w:rPr>
                <w:rFonts w:ascii="Arial" w:hAnsi="Arial" w:cs="Arial"/>
                <w:sz w:val="20"/>
              </w:rPr>
              <w:t>В Отделении Исполнительного комитета СНГ 29 марта 2018 года состоялось заседание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E47D4F" w:rsidRPr="00E47D4F" w:rsidRDefault="00E47D4F" w:rsidP="004B7152">
            <w:pPr>
              <w:jc w:val="both"/>
              <w:rPr>
                <w:rFonts w:ascii="Arial" w:hAnsi="Arial" w:cs="Arial"/>
                <w:sz w:val="20"/>
              </w:rPr>
            </w:pPr>
            <w:r w:rsidRPr="00E47D4F">
              <w:rPr>
                <w:rFonts w:ascii="Arial" w:hAnsi="Arial" w:cs="Arial"/>
                <w:sz w:val="20"/>
              </w:rPr>
              <w:t>В заседании приняли участие представители Азербайджанской Республики, Республики Армения, Республики Беларусь, Республики Казахстан, Кыргызской Республики, Российской Федерации, Республики Узбекистан, Бюро по стандартам МГС, Исполнительного комитета СНГ и Евразийской экономической комиссии.</w:t>
            </w:r>
          </w:p>
          <w:p w:rsidR="00E47D4F" w:rsidRPr="00E47D4F" w:rsidRDefault="00E47D4F" w:rsidP="004B7152">
            <w:pPr>
              <w:jc w:val="both"/>
              <w:rPr>
                <w:rFonts w:ascii="Arial" w:hAnsi="Arial" w:cs="Arial"/>
                <w:sz w:val="20"/>
              </w:rPr>
            </w:pPr>
            <w:r w:rsidRPr="00E47D4F">
              <w:rPr>
                <w:rFonts w:ascii="Arial" w:hAnsi="Arial" w:cs="Arial"/>
                <w:sz w:val="20"/>
              </w:rPr>
              <w:t>По проекту Соглашения поступили замечания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w:t>
            </w:r>
          </w:p>
          <w:p w:rsidR="00E47D4F" w:rsidRPr="00E47D4F" w:rsidRDefault="00E47D4F" w:rsidP="004B7152">
            <w:pPr>
              <w:jc w:val="both"/>
              <w:rPr>
                <w:rFonts w:ascii="Arial" w:hAnsi="Arial" w:cs="Arial"/>
                <w:sz w:val="20"/>
              </w:rPr>
            </w:pPr>
            <w:r w:rsidRPr="00E47D4F">
              <w:rPr>
                <w:rFonts w:ascii="Arial" w:hAnsi="Arial" w:cs="Arial"/>
                <w:sz w:val="20"/>
              </w:rPr>
              <w:t xml:space="preserve">В ходе заседания, под председательством Председателя Государственного комитета по стандартизации Республики Беларусь Назаренко В.В., рассмотрен проект Соглашения о технических барьерах во взаимной торговле государств – участников Содружества Независимых Государств. </w:t>
            </w:r>
          </w:p>
          <w:p w:rsidR="00E47D4F" w:rsidRPr="00E47D4F" w:rsidRDefault="00E47D4F" w:rsidP="004B7152">
            <w:pPr>
              <w:jc w:val="both"/>
              <w:rPr>
                <w:rFonts w:ascii="Arial" w:hAnsi="Arial" w:cs="Arial"/>
                <w:sz w:val="20"/>
              </w:rPr>
            </w:pPr>
            <w:r w:rsidRPr="00E47D4F">
              <w:rPr>
                <w:rFonts w:ascii="Arial" w:hAnsi="Arial" w:cs="Arial"/>
                <w:sz w:val="20"/>
              </w:rPr>
              <w:t>Участники заседания решили:</w:t>
            </w:r>
          </w:p>
          <w:p w:rsidR="00E47D4F" w:rsidRPr="00E47D4F" w:rsidRDefault="00E47D4F" w:rsidP="004B7152">
            <w:pPr>
              <w:jc w:val="both"/>
              <w:rPr>
                <w:rFonts w:ascii="Arial" w:hAnsi="Arial" w:cs="Arial"/>
                <w:sz w:val="20"/>
              </w:rPr>
            </w:pPr>
            <w:r w:rsidRPr="00E47D4F">
              <w:rPr>
                <w:rFonts w:ascii="Arial" w:hAnsi="Arial" w:cs="Arial"/>
                <w:sz w:val="20"/>
              </w:rPr>
              <w:t>Считать согласованным в основном с учетом поступивших замечаний и предложений государств – участников СНГ и состоявшегося обсуждения проект Соглашения о технических барьерах во взаимной торговле государств – участников Содружества Независимых Государств.</w:t>
            </w:r>
          </w:p>
          <w:p w:rsidR="00AD46FB" w:rsidRPr="00A16984" w:rsidRDefault="00E47D4F" w:rsidP="004B7152">
            <w:pPr>
              <w:pStyle w:val="a8"/>
              <w:spacing w:after="0"/>
              <w:jc w:val="both"/>
              <w:rPr>
                <w:rFonts w:ascii="Arial" w:hAnsi="Arial" w:cs="Arial"/>
                <w:sz w:val="20"/>
              </w:rPr>
            </w:pPr>
            <w:r w:rsidRPr="00E47D4F">
              <w:rPr>
                <w:rFonts w:ascii="Arial" w:hAnsi="Arial" w:cs="Arial"/>
                <w:sz w:val="20"/>
              </w:rPr>
              <w:t>Исполнительному комитету СНГ направить указанный проект Соглашения на согласование в правительства государств – участников СНГ.</w:t>
            </w:r>
          </w:p>
        </w:tc>
      </w:tr>
      <w:tr w:rsidR="00AD46FB" w:rsidRPr="00A16984" w:rsidTr="004B7152">
        <w:tblPrEx>
          <w:tblLook w:val="0000" w:firstRow="0" w:lastRow="0" w:firstColumn="0" w:lastColumn="0" w:noHBand="0" w:noVBand="0"/>
        </w:tblPrEx>
        <w:trPr>
          <w:trHeight w:val="530"/>
        </w:trPr>
        <w:tc>
          <w:tcPr>
            <w:tcW w:w="854" w:type="dxa"/>
          </w:tcPr>
          <w:p w:rsidR="00AD46FB" w:rsidRPr="00A16984" w:rsidRDefault="00AD46FB" w:rsidP="004B7152">
            <w:pPr>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3"/>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2"/>
          </w:tcPr>
          <w:p w:rsidR="00AD46FB" w:rsidRPr="00A16984" w:rsidRDefault="00AD46FB" w:rsidP="004B7152">
            <w:pPr>
              <w:jc w:val="both"/>
              <w:rPr>
                <w:rFonts w:ascii="Arial" w:hAnsi="Arial" w:cs="Arial"/>
                <w:sz w:val="20"/>
              </w:rPr>
            </w:pPr>
          </w:p>
        </w:tc>
      </w:tr>
      <w:tr w:rsidR="00AD46FB" w:rsidRPr="00A16984" w:rsidTr="004B7152">
        <w:tblPrEx>
          <w:tblLook w:val="0000" w:firstRow="0" w:lastRow="0" w:firstColumn="0" w:lastColumn="0" w:noHBand="0" w:noVBand="0"/>
        </w:tblPrEx>
        <w:trPr>
          <w:trHeight w:val="530"/>
        </w:trPr>
        <w:tc>
          <w:tcPr>
            <w:tcW w:w="854" w:type="dxa"/>
          </w:tcPr>
          <w:p w:rsidR="00AD46FB" w:rsidRPr="00F96D19" w:rsidRDefault="00AD46FB" w:rsidP="004B7152">
            <w:pPr>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3"/>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 xml:space="preserve">Бюро по </w:t>
            </w:r>
            <w:r w:rsidRPr="00F96D19">
              <w:rPr>
                <w:rFonts w:ascii="Arial" w:hAnsi="Arial" w:cs="Arial"/>
                <w:sz w:val="20"/>
                <w:lang w:eastAsia="en-US"/>
              </w:rPr>
              <w:lastRenderedPageBreak/>
              <w:t>стандартам</w:t>
            </w:r>
          </w:p>
        </w:tc>
        <w:tc>
          <w:tcPr>
            <w:tcW w:w="5846" w:type="dxa"/>
            <w:gridSpan w:val="2"/>
          </w:tcPr>
          <w:p w:rsidR="00AD46FB" w:rsidRPr="009C1530" w:rsidRDefault="00E47D4F" w:rsidP="004B7152">
            <w:pPr>
              <w:jc w:val="both"/>
              <w:rPr>
                <w:rFonts w:ascii="Arial" w:hAnsi="Arial" w:cs="Arial"/>
                <w:sz w:val="20"/>
              </w:rPr>
            </w:pPr>
            <w:r w:rsidRPr="009C1530">
              <w:rPr>
                <w:rFonts w:ascii="Arial" w:hAnsi="Arial" w:cs="Arial"/>
                <w:sz w:val="20"/>
              </w:rPr>
              <w:lastRenderedPageBreak/>
              <w:t xml:space="preserve">На 43-м заседании МГС подписан </w:t>
            </w:r>
            <w:r w:rsidRPr="009C153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Разрабатывается проект </w:t>
            </w:r>
            <w:r w:rsidRPr="009C1530">
              <w:rPr>
                <w:rFonts w:ascii="Arial" w:hAnsi="Arial" w:cs="Arial"/>
                <w:bCs/>
                <w:sz w:val="20"/>
              </w:rPr>
              <w:lastRenderedPageBreak/>
              <w:t>Плана мероприятий по реализации положений Меморандума о сотрудничестве ЕЭК и</w:t>
            </w:r>
            <w:r w:rsidRPr="009C1530">
              <w:rPr>
                <w:rFonts w:ascii="Arial" w:hAnsi="Arial" w:cs="Arial"/>
                <w:sz w:val="20"/>
              </w:rPr>
              <w:t xml:space="preserve"> МГС</w:t>
            </w:r>
          </w:p>
        </w:tc>
      </w:tr>
      <w:tr w:rsidR="00FA4A48" w:rsidRPr="00A16984" w:rsidTr="004B7152">
        <w:tblPrEx>
          <w:tblLook w:val="0000" w:firstRow="0" w:lastRow="0" w:firstColumn="0" w:lastColumn="0" w:noHBand="0" w:noVBand="0"/>
        </w:tblPrEx>
        <w:trPr>
          <w:trHeight w:val="530"/>
        </w:trPr>
        <w:tc>
          <w:tcPr>
            <w:tcW w:w="854" w:type="dxa"/>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lastRenderedPageBreak/>
              <w:t>1.7</w:t>
            </w:r>
          </w:p>
        </w:tc>
        <w:tc>
          <w:tcPr>
            <w:tcW w:w="5056"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3"/>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2"/>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87448D" w:rsidRPr="00A16984" w:rsidTr="004B7152">
        <w:tblPrEx>
          <w:tblLook w:val="0000" w:firstRow="0" w:lastRow="0" w:firstColumn="0" w:lastColumn="0" w:noHBand="0" w:noVBand="0"/>
        </w:tblPrEx>
        <w:trPr>
          <w:gridAfter w:val="1"/>
          <w:wAfter w:w="46" w:type="dxa"/>
          <w:trHeight w:val="342"/>
        </w:trPr>
        <w:tc>
          <w:tcPr>
            <w:tcW w:w="15120" w:type="dxa"/>
            <w:gridSpan w:val="7"/>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22685C">
        <w:tblPrEx>
          <w:tblLook w:val="0000" w:firstRow="0" w:lastRow="0" w:firstColumn="0" w:lastColumn="0" w:noHBand="0" w:noVBand="0"/>
        </w:tblPrEx>
        <w:trPr>
          <w:gridAfter w:val="1"/>
          <w:wAfter w:w="46" w:type="dxa"/>
          <w:trHeight w:val="481"/>
        </w:trPr>
        <w:tc>
          <w:tcPr>
            <w:tcW w:w="15120" w:type="dxa"/>
            <w:gridSpan w:val="7"/>
          </w:tcPr>
          <w:p w:rsidR="0022685C" w:rsidRPr="00547B4E" w:rsidRDefault="0087448D" w:rsidP="0022685C">
            <w:pPr>
              <w:pStyle w:val="31"/>
              <w:ind w:firstLine="0"/>
              <w:jc w:val="center"/>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22685C" w:rsidRPr="00A16984" w:rsidTr="00F11109">
        <w:tblPrEx>
          <w:tblLook w:val="0000" w:firstRow="0" w:lastRow="0" w:firstColumn="0" w:lastColumn="0" w:noHBand="0" w:noVBand="0"/>
        </w:tblPrEx>
        <w:trPr>
          <w:gridAfter w:val="1"/>
          <w:wAfter w:w="46" w:type="dxa"/>
          <w:trHeight w:val="701"/>
        </w:trPr>
        <w:tc>
          <w:tcPr>
            <w:tcW w:w="15120" w:type="dxa"/>
            <w:gridSpan w:val="7"/>
          </w:tcPr>
          <w:p w:rsidR="0022685C" w:rsidRPr="00547B4E" w:rsidRDefault="0022685C" w:rsidP="00F11109">
            <w:pPr>
              <w:pStyle w:val="31"/>
              <w:ind w:firstLine="0"/>
              <w:rPr>
                <w:rFonts w:ascii="Arial" w:hAnsi="Arial" w:cs="Arial"/>
                <w:b/>
                <w:szCs w:val="24"/>
              </w:rPr>
            </w:pPr>
            <w:r w:rsidRPr="0022685C">
              <w:rPr>
                <w:rFonts w:ascii="Arial" w:hAnsi="Arial" w:cs="Arial"/>
                <w:szCs w:val="24"/>
                <w:highlight w:val="yellow"/>
              </w:rPr>
              <w:t xml:space="preserve">Министерство Экономики и Инфраструктуры Республики Молдова предлагает исключить подзаголовок «Совершенствование процедур оценки соответствия», т.к. </w:t>
            </w:r>
            <w:r w:rsidR="00F11109" w:rsidRPr="0022685C">
              <w:rPr>
                <w:rFonts w:ascii="Arial" w:hAnsi="Arial" w:cs="Arial"/>
                <w:szCs w:val="24"/>
                <w:highlight w:val="yellow"/>
              </w:rPr>
              <w:t>мероприятия,</w:t>
            </w:r>
            <w:r w:rsidRPr="0022685C">
              <w:rPr>
                <w:rFonts w:ascii="Arial" w:hAnsi="Arial" w:cs="Arial"/>
                <w:szCs w:val="24"/>
                <w:highlight w:val="yellow"/>
              </w:rPr>
              <w:t xml:space="preserve"> содержащиеся в данной </w:t>
            </w:r>
            <w:r w:rsidR="00F11109" w:rsidRPr="0022685C">
              <w:rPr>
                <w:rFonts w:ascii="Arial" w:hAnsi="Arial" w:cs="Arial"/>
                <w:szCs w:val="24"/>
                <w:highlight w:val="yellow"/>
              </w:rPr>
              <w:t>главе,</w:t>
            </w:r>
            <w:r w:rsidRPr="0022685C">
              <w:rPr>
                <w:rFonts w:ascii="Arial" w:hAnsi="Arial" w:cs="Arial"/>
                <w:szCs w:val="24"/>
                <w:highlight w:val="yellow"/>
              </w:rPr>
              <w:t xml:space="preserve"> не относятся к процедурам оценки соответствия</w:t>
            </w:r>
          </w:p>
        </w:tc>
      </w:tr>
      <w:tr w:rsidR="0087448D" w:rsidRPr="00A16984" w:rsidTr="004B7152">
        <w:tblPrEx>
          <w:tblLook w:val="0000" w:firstRow="0" w:lastRow="0" w:firstColumn="0" w:lastColumn="0" w:noHBand="0" w:noVBand="0"/>
        </w:tblPrEx>
        <w:trPr>
          <w:gridAfter w:val="1"/>
          <w:wAfter w:w="46" w:type="dxa"/>
          <w:trHeight w:val="2106"/>
        </w:trPr>
        <w:tc>
          <w:tcPr>
            <w:tcW w:w="854" w:type="dxa"/>
          </w:tcPr>
          <w:p w:rsidR="0087448D" w:rsidRPr="00A16984" w:rsidRDefault="0087448D" w:rsidP="004B7152">
            <w:pPr>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4B7152">
            <w:pPr>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tcPr>
          <w:p w:rsidR="0087448D" w:rsidRPr="00A16984" w:rsidRDefault="0087448D" w:rsidP="004B7152">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810" w:type="dxa"/>
            <w:gridSpan w:val="2"/>
          </w:tcPr>
          <w:p w:rsidR="0087448D" w:rsidRDefault="0087448D" w:rsidP="004B7152">
            <w:pPr>
              <w:jc w:val="center"/>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4B7152">
            <w:pPr>
              <w:jc w:val="center"/>
              <w:rPr>
                <w:rFonts w:ascii="Arial" w:hAnsi="Arial" w:cs="Arial"/>
                <w:sz w:val="20"/>
              </w:rPr>
            </w:pPr>
            <w:r>
              <w:rPr>
                <w:rFonts w:ascii="Arial" w:hAnsi="Arial" w:cs="Arial"/>
                <w:sz w:val="20"/>
              </w:rPr>
              <w:t>МТК 538</w:t>
            </w:r>
          </w:p>
          <w:p w:rsidR="0087448D" w:rsidRPr="00A16984" w:rsidRDefault="0087448D" w:rsidP="004B7152">
            <w:pPr>
              <w:jc w:val="center"/>
              <w:rPr>
                <w:rFonts w:ascii="Arial" w:hAnsi="Arial" w:cs="Arial"/>
                <w:sz w:val="20"/>
              </w:rPr>
            </w:pPr>
            <w:r>
              <w:rPr>
                <w:rFonts w:ascii="Arial" w:hAnsi="Arial" w:cs="Arial"/>
                <w:sz w:val="20"/>
              </w:rPr>
              <w:t>МТК 539</w:t>
            </w:r>
          </w:p>
        </w:tc>
        <w:tc>
          <w:tcPr>
            <w:tcW w:w="5800" w:type="dxa"/>
          </w:tcPr>
          <w:p w:rsidR="001434F3" w:rsidRDefault="001434F3" w:rsidP="00597143">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1434F3" w:rsidP="00597143">
            <w:pPr>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НТКОС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983"/>
        </w:trPr>
        <w:tc>
          <w:tcPr>
            <w:tcW w:w="854" w:type="dxa"/>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tcPr>
          <w:p w:rsidR="0087448D" w:rsidRPr="00A16984" w:rsidRDefault="0087448D" w:rsidP="004B7152">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F11109" w:rsidRPr="00A16984" w:rsidTr="00F11109">
        <w:tblPrEx>
          <w:tblLook w:val="0000" w:firstRow="0" w:lastRow="0" w:firstColumn="0" w:lastColumn="0" w:noHBand="0" w:noVBand="0"/>
        </w:tblPrEx>
        <w:trPr>
          <w:gridAfter w:val="1"/>
          <w:wAfter w:w="46" w:type="dxa"/>
          <w:trHeight w:val="503"/>
        </w:trPr>
        <w:tc>
          <w:tcPr>
            <w:tcW w:w="854" w:type="dxa"/>
            <w:vMerge w:val="restart"/>
          </w:tcPr>
          <w:p w:rsidR="00F11109" w:rsidRPr="00A16984" w:rsidRDefault="00F11109" w:rsidP="004B7152">
            <w:pPr>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vMerge w:val="restart"/>
          </w:tcPr>
          <w:p w:rsidR="00F11109" w:rsidRPr="00547B4E" w:rsidRDefault="00F11109" w:rsidP="004B7152">
            <w:pPr>
              <w:jc w:val="both"/>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vMerge w:val="restart"/>
          </w:tcPr>
          <w:p w:rsidR="00F11109" w:rsidRPr="00547B4E" w:rsidRDefault="00F11109"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F11109" w:rsidRPr="00F11109" w:rsidRDefault="00F11109" w:rsidP="004B7152">
            <w:pPr>
              <w:jc w:val="center"/>
              <w:rPr>
                <w:rFonts w:ascii="Arial" w:hAnsi="Arial" w:cs="Arial"/>
                <w:sz w:val="20"/>
                <w:highlight w:val="yellow"/>
                <w:lang w:eastAsia="en-US"/>
              </w:rPr>
            </w:pPr>
            <w:r w:rsidRPr="00F11109">
              <w:rPr>
                <w:rFonts w:ascii="Arial" w:hAnsi="Arial" w:cs="Arial"/>
                <w:sz w:val="20"/>
                <w:highlight w:val="yellow"/>
                <w:lang w:eastAsia="en-US"/>
              </w:rPr>
              <w:t>Национальные органы</w:t>
            </w:r>
          </w:p>
        </w:tc>
        <w:tc>
          <w:tcPr>
            <w:tcW w:w="5800" w:type="dxa"/>
            <w:vMerge w:val="restart"/>
          </w:tcPr>
          <w:p w:rsidR="00F11109" w:rsidRPr="00A16984" w:rsidRDefault="00F11109" w:rsidP="004B7152">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F11109" w:rsidRPr="00A16984" w:rsidTr="004B7152">
        <w:tblPrEx>
          <w:tblLook w:val="0000" w:firstRow="0" w:lastRow="0" w:firstColumn="0" w:lastColumn="0" w:noHBand="0" w:noVBand="0"/>
        </w:tblPrEx>
        <w:trPr>
          <w:gridAfter w:val="1"/>
          <w:wAfter w:w="46" w:type="dxa"/>
          <w:trHeight w:val="502"/>
        </w:trPr>
        <w:tc>
          <w:tcPr>
            <w:tcW w:w="854" w:type="dxa"/>
            <w:vMerge/>
          </w:tcPr>
          <w:p w:rsidR="00F11109" w:rsidRPr="00A16984" w:rsidRDefault="00F11109" w:rsidP="004B7152">
            <w:pPr>
              <w:jc w:val="both"/>
              <w:rPr>
                <w:rFonts w:ascii="Arial" w:hAnsi="Arial" w:cs="Arial"/>
                <w:sz w:val="20"/>
              </w:rPr>
            </w:pPr>
          </w:p>
        </w:tc>
        <w:tc>
          <w:tcPr>
            <w:tcW w:w="5080" w:type="dxa"/>
            <w:gridSpan w:val="2"/>
            <w:vMerge/>
          </w:tcPr>
          <w:p w:rsidR="00F11109" w:rsidRPr="00547B4E" w:rsidRDefault="00F11109" w:rsidP="004B7152">
            <w:pPr>
              <w:jc w:val="both"/>
              <w:rPr>
                <w:rFonts w:ascii="Arial" w:hAnsi="Arial" w:cs="Arial"/>
                <w:sz w:val="20"/>
                <w:lang w:eastAsia="en-US"/>
              </w:rPr>
            </w:pPr>
          </w:p>
        </w:tc>
        <w:tc>
          <w:tcPr>
            <w:tcW w:w="1576" w:type="dxa"/>
            <w:vMerge/>
          </w:tcPr>
          <w:p w:rsidR="00F11109" w:rsidRPr="00547B4E" w:rsidRDefault="00F11109" w:rsidP="004B7152">
            <w:pPr>
              <w:jc w:val="center"/>
              <w:rPr>
                <w:rFonts w:ascii="Arial" w:hAnsi="Arial" w:cs="Arial"/>
                <w:sz w:val="20"/>
                <w:lang w:eastAsia="en-US"/>
              </w:rPr>
            </w:pPr>
          </w:p>
        </w:tc>
        <w:tc>
          <w:tcPr>
            <w:tcW w:w="1810" w:type="dxa"/>
            <w:gridSpan w:val="2"/>
          </w:tcPr>
          <w:p w:rsidR="00F11109" w:rsidRPr="00F11109" w:rsidRDefault="00F11109" w:rsidP="00F11109">
            <w:pPr>
              <w:rPr>
                <w:rFonts w:ascii="Arial" w:hAnsi="Arial" w:cs="Arial"/>
                <w:sz w:val="20"/>
                <w:highlight w:val="yellow"/>
                <w:lang w:eastAsia="en-US"/>
              </w:rPr>
            </w:pPr>
            <w:r w:rsidRPr="00F11109">
              <w:rPr>
                <w:rFonts w:ascii="Arial" w:hAnsi="Arial" w:cs="Arial"/>
                <w:sz w:val="20"/>
                <w:highlight w:val="yellow"/>
                <w:lang w:eastAsia="en-US"/>
              </w:rPr>
              <w:t>МЭиИ РМ предлагает дополнить колонку словами «Бюро по стандартам»</w:t>
            </w:r>
          </w:p>
        </w:tc>
        <w:tc>
          <w:tcPr>
            <w:tcW w:w="5800" w:type="dxa"/>
            <w:vMerge/>
          </w:tcPr>
          <w:p w:rsidR="00F11109" w:rsidRPr="00056C0F" w:rsidRDefault="00F11109" w:rsidP="004B7152">
            <w:pPr>
              <w:pStyle w:val="31"/>
              <w:ind w:firstLine="0"/>
              <w:rPr>
                <w:rFonts w:ascii="Arial" w:hAnsi="Arial" w:cs="Arial"/>
                <w:sz w:val="20"/>
              </w:rPr>
            </w:pPr>
          </w:p>
        </w:tc>
      </w:tr>
      <w:tr w:rsidR="0022685C" w:rsidRPr="00247EEC" w:rsidTr="0022685C">
        <w:tblPrEx>
          <w:tblLook w:val="0000" w:firstRow="0" w:lastRow="0" w:firstColumn="0" w:lastColumn="0" w:noHBand="0" w:noVBand="0"/>
        </w:tblPrEx>
        <w:trPr>
          <w:gridAfter w:val="1"/>
          <w:wAfter w:w="46" w:type="dxa"/>
          <w:trHeight w:val="960"/>
        </w:trPr>
        <w:tc>
          <w:tcPr>
            <w:tcW w:w="854" w:type="dxa"/>
            <w:vMerge w:val="restart"/>
          </w:tcPr>
          <w:p w:rsidR="0022685C" w:rsidRPr="00247EEC" w:rsidRDefault="0022685C" w:rsidP="004B7152">
            <w:pPr>
              <w:jc w:val="both"/>
              <w:rPr>
                <w:rFonts w:ascii="Arial" w:hAnsi="Arial" w:cs="Arial"/>
                <w:i/>
                <w:sz w:val="20"/>
              </w:rPr>
            </w:pPr>
            <w:r w:rsidRPr="00247EEC">
              <w:rPr>
                <w:rFonts w:ascii="Arial" w:hAnsi="Arial" w:cs="Arial"/>
                <w:i/>
                <w:sz w:val="20"/>
              </w:rPr>
              <w:t>4.4.</w:t>
            </w:r>
          </w:p>
        </w:tc>
        <w:tc>
          <w:tcPr>
            <w:tcW w:w="5080" w:type="dxa"/>
            <w:gridSpan w:val="2"/>
          </w:tcPr>
          <w:p w:rsidR="0022685C" w:rsidRPr="0022685C" w:rsidRDefault="0022685C" w:rsidP="004B7152">
            <w:pPr>
              <w:jc w:val="both"/>
              <w:rPr>
                <w:rFonts w:ascii="Arial" w:hAnsi="Arial" w:cs="Arial"/>
                <w:i/>
                <w:sz w:val="20"/>
                <w:highlight w:val="yellow"/>
              </w:rPr>
            </w:pPr>
            <w:r w:rsidRPr="0022685C">
              <w:rPr>
                <w:rFonts w:ascii="Arial" w:hAnsi="Arial" w:cs="Arial"/>
                <w:i/>
                <w:sz w:val="20"/>
                <w:highlight w:val="yellow"/>
              </w:rPr>
              <w:t>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vMerge w:val="restart"/>
          </w:tcPr>
          <w:p w:rsidR="0022685C" w:rsidRPr="00247EEC" w:rsidRDefault="0022685C" w:rsidP="00023368">
            <w:pPr>
              <w:suppressAutoHyphens/>
              <w:spacing w:line="240" w:lineRule="exact"/>
              <w:jc w:val="center"/>
              <w:rPr>
                <w:rFonts w:ascii="Arial" w:hAnsi="Arial" w:cs="Arial"/>
                <w:i/>
                <w:strike/>
                <w:sz w:val="20"/>
              </w:rPr>
            </w:pPr>
            <w:r w:rsidRPr="00247EEC">
              <w:rPr>
                <w:rFonts w:ascii="Arial" w:hAnsi="Arial" w:cs="Arial"/>
                <w:i/>
                <w:sz w:val="20"/>
              </w:rPr>
              <w:t>2016–2017</w:t>
            </w:r>
          </w:p>
        </w:tc>
        <w:tc>
          <w:tcPr>
            <w:tcW w:w="1810" w:type="dxa"/>
            <w:gridSpan w:val="2"/>
            <w:vMerge w:val="restart"/>
          </w:tcPr>
          <w:p w:rsidR="0022685C" w:rsidRPr="00247EEC" w:rsidRDefault="0022685C" w:rsidP="00023368">
            <w:pPr>
              <w:spacing w:line="240" w:lineRule="exact"/>
              <w:rPr>
                <w:rFonts w:ascii="Arial" w:hAnsi="Arial" w:cs="Arial"/>
                <w:i/>
                <w:sz w:val="20"/>
              </w:rPr>
            </w:pPr>
            <w:r w:rsidRPr="00247EEC">
              <w:rPr>
                <w:rFonts w:ascii="Arial" w:hAnsi="Arial" w:cs="Arial"/>
                <w:i/>
                <w:sz w:val="20"/>
              </w:rPr>
              <w:t>Государства – участники СНГ, МГС</w:t>
            </w:r>
          </w:p>
        </w:tc>
        <w:tc>
          <w:tcPr>
            <w:tcW w:w="5800" w:type="dxa"/>
            <w:vMerge w:val="restart"/>
          </w:tcPr>
          <w:p w:rsidR="0022685C" w:rsidRPr="00247EEC" w:rsidRDefault="0022685C" w:rsidP="00247EEC">
            <w:pPr>
              <w:spacing w:line="240" w:lineRule="exact"/>
              <w:rPr>
                <w:rFonts w:ascii="Arial" w:hAnsi="Arial" w:cs="Arial"/>
                <w:i/>
                <w:sz w:val="20"/>
              </w:rPr>
            </w:pPr>
            <w:r w:rsidRPr="00247EEC">
              <w:rPr>
                <w:rFonts w:ascii="Arial" w:hAnsi="Arial" w:cs="Arial"/>
                <w:i/>
                <w:sz w:val="20"/>
              </w:rPr>
              <w:t xml:space="preserve">Вопрос рассматривался на 45-м заседании МГС. </w:t>
            </w:r>
          </w:p>
          <w:p w:rsidR="0022685C" w:rsidRPr="00247EEC" w:rsidRDefault="0022685C" w:rsidP="00247EEC">
            <w:pPr>
              <w:spacing w:line="240" w:lineRule="exact"/>
              <w:rPr>
                <w:rFonts w:ascii="Arial" w:hAnsi="Arial" w:cs="Arial"/>
                <w:i/>
                <w:sz w:val="20"/>
              </w:rPr>
            </w:pPr>
            <w:r w:rsidRPr="00247EEC">
              <w:rPr>
                <w:rFonts w:ascii="Arial" w:hAnsi="Arial" w:cs="Arial"/>
                <w:i/>
                <w:sz w:val="20"/>
              </w:rPr>
              <w:t xml:space="preserve">В соответствии с п. 7.2.3 протокола № 45-2014 принята рекомендация 33-го заседания НТКОС (протокол № 33-2014, п. 5.1.3) считать на данном этапе разработку </w:t>
            </w:r>
            <w:r w:rsidRPr="00247EEC">
              <w:rPr>
                <w:rFonts w:ascii="Arial" w:hAnsi="Arial" w:cs="Arial"/>
                <w:i/>
                <w:sz w:val="20"/>
              </w:rPr>
              <w:lastRenderedPageBreak/>
              <w:t>«Соглашения о взаимном признании сертификатов профессиональной компетентности персонала в выполнении работ, оказании определённых услуг» преждевременной.</w:t>
            </w:r>
          </w:p>
        </w:tc>
      </w:tr>
      <w:tr w:rsidR="0022685C" w:rsidRPr="00247EEC" w:rsidTr="004B7152">
        <w:tblPrEx>
          <w:tblLook w:val="0000" w:firstRow="0" w:lastRow="0" w:firstColumn="0" w:lastColumn="0" w:noHBand="0" w:noVBand="0"/>
        </w:tblPrEx>
        <w:trPr>
          <w:gridAfter w:val="1"/>
          <w:wAfter w:w="46" w:type="dxa"/>
          <w:trHeight w:val="960"/>
        </w:trPr>
        <w:tc>
          <w:tcPr>
            <w:tcW w:w="854" w:type="dxa"/>
            <w:vMerge/>
          </w:tcPr>
          <w:p w:rsidR="0022685C" w:rsidRPr="00247EEC" w:rsidRDefault="0022685C" w:rsidP="004B7152">
            <w:pPr>
              <w:jc w:val="both"/>
              <w:rPr>
                <w:rFonts w:ascii="Arial" w:hAnsi="Arial" w:cs="Arial"/>
                <w:i/>
                <w:sz w:val="20"/>
              </w:rPr>
            </w:pPr>
          </w:p>
        </w:tc>
        <w:tc>
          <w:tcPr>
            <w:tcW w:w="5080" w:type="dxa"/>
            <w:gridSpan w:val="2"/>
          </w:tcPr>
          <w:p w:rsidR="0022685C" w:rsidRPr="0022685C" w:rsidRDefault="0022685C" w:rsidP="0022685C">
            <w:pPr>
              <w:jc w:val="both"/>
              <w:rPr>
                <w:rFonts w:ascii="Arial" w:hAnsi="Arial" w:cs="Arial"/>
                <w:i/>
                <w:sz w:val="20"/>
                <w:highlight w:val="yellow"/>
              </w:rPr>
            </w:pPr>
            <w:r w:rsidRPr="0022685C">
              <w:rPr>
                <w:rFonts w:ascii="Arial" w:hAnsi="Arial" w:cs="Arial"/>
                <w:i/>
                <w:sz w:val="20"/>
                <w:highlight w:val="yellow"/>
              </w:rPr>
              <w:t>Госстандарт РБ предлагает исключить п. 4.4 в связи с тем, что в рамках 45-го заседания МГС было принято решение о преждевременности разработки «Соглашения о взаимном признании сертификатов профессиональной</w:t>
            </w:r>
            <w:r>
              <w:rPr>
                <w:rFonts w:ascii="Arial" w:hAnsi="Arial" w:cs="Arial"/>
                <w:i/>
                <w:sz w:val="20"/>
                <w:highlight w:val="yellow"/>
              </w:rPr>
              <w:t xml:space="preserve">         </w:t>
            </w:r>
            <w:r w:rsidRPr="0022685C">
              <w:rPr>
                <w:rFonts w:ascii="Arial" w:hAnsi="Arial" w:cs="Arial"/>
                <w:i/>
                <w:sz w:val="20"/>
                <w:highlight w:val="yellow"/>
              </w:rPr>
              <w:t xml:space="preserve"> компетентности персонала в выполнении работ, оказании определённых услуг»</w:t>
            </w:r>
          </w:p>
        </w:tc>
        <w:tc>
          <w:tcPr>
            <w:tcW w:w="1576" w:type="dxa"/>
            <w:vMerge/>
          </w:tcPr>
          <w:p w:rsidR="0022685C" w:rsidRPr="00247EEC" w:rsidRDefault="0022685C" w:rsidP="00023368">
            <w:pPr>
              <w:suppressAutoHyphens/>
              <w:spacing w:line="240" w:lineRule="exact"/>
              <w:jc w:val="center"/>
              <w:rPr>
                <w:rFonts w:ascii="Arial" w:hAnsi="Arial" w:cs="Arial"/>
                <w:i/>
                <w:sz w:val="20"/>
              </w:rPr>
            </w:pPr>
          </w:p>
        </w:tc>
        <w:tc>
          <w:tcPr>
            <w:tcW w:w="1810" w:type="dxa"/>
            <w:gridSpan w:val="2"/>
            <w:vMerge/>
          </w:tcPr>
          <w:p w:rsidR="0022685C" w:rsidRPr="00247EEC" w:rsidRDefault="0022685C" w:rsidP="00023368">
            <w:pPr>
              <w:spacing w:line="240" w:lineRule="exact"/>
              <w:rPr>
                <w:rFonts w:ascii="Arial" w:hAnsi="Arial" w:cs="Arial"/>
                <w:i/>
                <w:sz w:val="20"/>
              </w:rPr>
            </w:pPr>
          </w:p>
        </w:tc>
        <w:tc>
          <w:tcPr>
            <w:tcW w:w="5800" w:type="dxa"/>
            <w:vMerge/>
          </w:tcPr>
          <w:p w:rsidR="0022685C" w:rsidRPr="00247EEC" w:rsidRDefault="0022685C" w:rsidP="00247EEC">
            <w:pPr>
              <w:spacing w:line="240" w:lineRule="exact"/>
              <w:rPr>
                <w:rFonts w:ascii="Arial" w:hAnsi="Arial" w:cs="Arial"/>
                <w:i/>
                <w:sz w:val="20"/>
              </w:rPr>
            </w:pPr>
          </w:p>
        </w:tc>
      </w:tr>
      <w:tr w:rsidR="00023368" w:rsidRPr="00A16984" w:rsidTr="004B7152">
        <w:tblPrEx>
          <w:tblLook w:val="0000" w:firstRow="0" w:lastRow="0" w:firstColumn="0" w:lastColumn="0" w:noHBand="0" w:noVBand="0"/>
        </w:tblPrEx>
        <w:trPr>
          <w:gridAfter w:val="1"/>
          <w:wAfter w:w="46" w:type="dxa"/>
          <w:trHeight w:val="349"/>
        </w:trPr>
        <w:tc>
          <w:tcPr>
            <w:tcW w:w="854" w:type="dxa"/>
          </w:tcPr>
          <w:p w:rsidR="00023368" w:rsidRPr="00A16984" w:rsidRDefault="00023368" w:rsidP="004B7152">
            <w:pPr>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023368" w:rsidRPr="00547B4E" w:rsidRDefault="00023368" w:rsidP="004B7152">
            <w:pPr>
              <w:jc w:val="both"/>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tcPr>
          <w:p w:rsidR="00023368" w:rsidRPr="00547B4E" w:rsidRDefault="00023368" w:rsidP="004B7152">
            <w:pPr>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023368" w:rsidRPr="00BA13B6" w:rsidRDefault="00023368" w:rsidP="004B7152">
            <w:pPr>
              <w:jc w:val="center"/>
              <w:rPr>
                <w:rFonts w:ascii="Arial" w:hAnsi="Arial" w:cs="Arial"/>
                <w:sz w:val="20"/>
                <w:lang w:eastAsia="en-US"/>
              </w:rPr>
            </w:pPr>
            <w:r w:rsidRPr="00BA13B6">
              <w:rPr>
                <w:rFonts w:ascii="Arial" w:hAnsi="Arial" w:cs="Arial"/>
                <w:sz w:val="20"/>
              </w:rPr>
              <w:t>Государства – участники СНГ, МГС</w:t>
            </w:r>
          </w:p>
        </w:tc>
        <w:tc>
          <w:tcPr>
            <w:tcW w:w="5800" w:type="dxa"/>
          </w:tcPr>
          <w:p w:rsidR="00023368" w:rsidRDefault="00023368" w:rsidP="004B7152">
            <w:pPr>
              <w:pStyle w:val="aa"/>
              <w:spacing w:after="0"/>
              <w:ind w:left="0"/>
              <w:jc w:val="both"/>
              <w:rPr>
                <w:rFonts w:ascii="Arial" w:hAnsi="Arial" w:cs="Arial"/>
                <w:sz w:val="20"/>
              </w:rPr>
            </w:pPr>
            <w:r w:rsidRPr="00641601">
              <w:rPr>
                <w:rFonts w:ascii="Arial" w:hAnsi="Arial" w:cs="Arial"/>
                <w:sz w:val="20"/>
              </w:rPr>
              <w:t xml:space="preserve">Объявлен </w:t>
            </w:r>
            <w:r w:rsidR="00247EEC">
              <w:rPr>
                <w:rFonts w:ascii="Arial" w:hAnsi="Arial" w:cs="Arial"/>
                <w:sz w:val="20"/>
              </w:rPr>
              <w:t>7</w:t>
            </w:r>
            <w:r>
              <w:rPr>
                <w:rFonts w:ascii="Arial" w:hAnsi="Arial" w:cs="Arial"/>
                <w:sz w:val="20"/>
              </w:rPr>
              <w:t>-й</w:t>
            </w:r>
            <w:r w:rsidRPr="00641601">
              <w:rPr>
                <w:rFonts w:ascii="Arial" w:hAnsi="Arial" w:cs="Arial"/>
                <w:sz w:val="20"/>
              </w:rPr>
              <w:t xml:space="preserve"> конкурс на соискание Премии СНГ 201</w:t>
            </w:r>
            <w:r w:rsidR="00247EEC">
              <w:rPr>
                <w:rFonts w:ascii="Arial" w:hAnsi="Arial" w:cs="Arial"/>
                <w:sz w:val="20"/>
              </w:rPr>
              <w:t>9</w:t>
            </w:r>
            <w:r w:rsidRPr="00641601">
              <w:rPr>
                <w:rFonts w:ascii="Arial" w:hAnsi="Arial" w:cs="Arial"/>
                <w:sz w:val="20"/>
              </w:rPr>
              <w:t xml:space="preserve"> года за достижения в области качества продукции и услуг на </w:t>
            </w:r>
          </w:p>
          <w:p w:rsidR="00023368" w:rsidRPr="00A16984" w:rsidRDefault="00247EEC" w:rsidP="00247EEC">
            <w:pPr>
              <w:pStyle w:val="aa"/>
              <w:spacing w:after="0"/>
              <w:ind w:left="0"/>
              <w:jc w:val="both"/>
              <w:rPr>
                <w:rFonts w:ascii="Arial" w:hAnsi="Arial" w:cs="Arial"/>
                <w:sz w:val="20"/>
              </w:rPr>
            </w:pPr>
            <w:r>
              <w:rPr>
                <w:rFonts w:ascii="Arial" w:hAnsi="Arial" w:cs="Arial"/>
                <w:sz w:val="20"/>
              </w:rPr>
              <w:t>53</w:t>
            </w:r>
            <w:r w:rsidR="00023368" w:rsidRPr="00641601">
              <w:rPr>
                <w:rFonts w:ascii="Arial" w:hAnsi="Arial" w:cs="Arial"/>
                <w:sz w:val="20"/>
              </w:rPr>
              <w:t>-м заседании МГС 28 июня 201</w:t>
            </w:r>
            <w:r>
              <w:rPr>
                <w:rFonts w:ascii="Arial" w:hAnsi="Arial" w:cs="Arial"/>
                <w:sz w:val="20"/>
              </w:rPr>
              <w:t>8</w:t>
            </w:r>
            <w:r w:rsidR="00023368" w:rsidRPr="00641601">
              <w:rPr>
                <w:rFonts w:ascii="Arial" w:hAnsi="Arial" w:cs="Arial"/>
                <w:sz w:val="20"/>
              </w:rPr>
              <w:t xml:space="preserve"> года.</w:t>
            </w:r>
          </w:p>
        </w:tc>
      </w:tr>
    </w:tbl>
    <w:p w:rsidR="000A1538" w:rsidRDefault="000A1538"/>
    <w:p w:rsidR="00F11109" w:rsidRPr="00F11109" w:rsidRDefault="00F11109">
      <w:pPr>
        <w:rPr>
          <w:rFonts w:ascii="Arial" w:hAnsi="Arial" w:cs="Arial"/>
          <w:sz w:val="24"/>
          <w:szCs w:val="24"/>
        </w:rPr>
      </w:pPr>
      <w:r>
        <w:rPr>
          <w:rFonts w:ascii="Arial" w:hAnsi="Arial" w:cs="Arial"/>
          <w:sz w:val="24"/>
          <w:szCs w:val="24"/>
        </w:rPr>
        <w:t xml:space="preserve">Предложения национальных органов по корректировке Плана </w:t>
      </w:r>
      <w:r w:rsidRPr="00F11109">
        <w:rPr>
          <w:rFonts w:ascii="Arial" w:hAnsi="Arial" w:cs="Arial"/>
          <w:sz w:val="24"/>
          <w:szCs w:val="24"/>
        </w:rPr>
        <w:t>отмечены желтым цветом.</w:t>
      </w:r>
    </w:p>
    <w:p w:rsidR="00F11109" w:rsidRPr="00F11109" w:rsidRDefault="00F11109">
      <w:pPr>
        <w:rPr>
          <w:rFonts w:ascii="Arial" w:hAnsi="Arial" w:cs="Arial"/>
          <w:sz w:val="24"/>
          <w:szCs w:val="24"/>
        </w:rPr>
      </w:pPr>
      <w:r w:rsidRPr="00F11109">
        <w:rPr>
          <w:rFonts w:ascii="Arial" w:hAnsi="Arial" w:cs="Arial"/>
          <w:sz w:val="24"/>
          <w:szCs w:val="24"/>
        </w:rPr>
        <w:t>Госстандарт РБ (письмо № 04-06/660 от 30.05.2019)</w:t>
      </w:r>
    </w:p>
    <w:p w:rsidR="00F11109" w:rsidRDefault="00F11109">
      <w:r w:rsidRPr="00F11109">
        <w:rPr>
          <w:rFonts w:ascii="Arial" w:hAnsi="Arial" w:cs="Arial"/>
          <w:sz w:val="24"/>
          <w:szCs w:val="24"/>
        </w:rPr>
        <w:t>Министерство Экономики и Инфраструктуры Республики Молдова (письмо № 12-3169 от 20.05.2019)</w:t>
      </w:r>
    </w:p>
    <w:sectPr w:rsidR="00F11109"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9A8" w:rsidRDefault="00B239A8">
      <w:r>
        <w:separator/>
      </w:r>
    </w:p>
  </w:endnote>
  <w:endnote w:type="continuationSeparator" w:id="0">
    <w:p w:rsidR="00B239A8" w:rsidRDefault="00B2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68" w:rsidRDefault="000233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3368" w:rsidRDefault="000233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68" w:rsidRDefault="000233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67E92">
      <w:rPr>
        <w:rStyle w:val="a5"/>
        <w:noProof/>
      </w:rPr>
      <w:t>1</w:t>
    </w:r>
    <w:r>
      <w:rPr>
        <w:rStyle w:val="a5"/>
      </w:rPr>
      <w:fldChar w:fldCharType="end"/>
    </w:r>
  </w:p>
  <w:p w:rsidR="00023368" w:rsidRPr="000E4D0E" w:rsidRDefault="00023368" w:rsidP="005914F5">
    <w:pPr>
      <w:ind w:left="5400" w:hanging="5400"/>
      <w:rPr>
        <w:rFonts w:ascii="Arial" w:hAnsi="Arial" w:cs="Arial"/>
        <w:sz w:val="16"/>
        <w:szCs w:val="16"/>
      </w:rPr>
    </w:pPr>
    <w:r>
      <w:rPr>
        <w:rFonts w:ascii="Arial" w:hAnsi="Arial" w:cs="Arial"/>
        <w:sz w:val="16"/>
        <w:szCs w:val="16"/>
      </w:rPr>
      <w:t>Приложение №</w:t>
    </w:r>
    <w:r w:rsidR="007A0CCC">
      <w:rPr>
        <w:rFonts w:ascii="Arial" w:hAnsi="Arial" w:cs="Arial"/>
        <w:sz w:val="16"/>
        <w:szCs w:val="16"/>
      </w:rPr>
      <w:t xml:space="preserve"> 3</w:t>
    </w:r>
    <w:r w:rsidRPr="000E4D0E">
      <w:rPr>
        <w:rFonts w:ascii="Arial" w:hAnsi="Arial" w:cs="Arial"/>
        <w:sz w:val="16"/>
        <w:szCs w:val="16"/>
      </w:rPr>
      <w:t xml:space="preserve"> к протоколу </w:t>
    </w:r>
    <w:r w:rsidR="007A0CCC">
      <w:rPr>
        <w:rFonts w:ascii="Arial" w:hAnsi="Arial" w:cs="Arial"/>
        <w:sz w:val="16"/>
        <w:szCs w:val="16"/>
      </w:rPr>
      <w:t>НТКА</w:t>
    </w:r>
    <w:r w:rsidRPr="000E4D0E">
      <w:rPr>
        <w:rFonts w:ascii="Arial" w:hAnsi="Arial" w:cs="Arial"/>
        <w:sz w:val="16"/>
        <w:szCs w:val="16"/>
      </w:rPr>
      <w:t xml:space="preserve"> № </w:t>
    </w:r>
    <w:r w:rsidR="007A0CCC">
      <w:rPr>
        <w:rFonts w:ascii="Arial" w:hAnsi="Arial" w:cs="Arial"/>
        <w:sz w:val="16"/>
        <w:szCs w:val="16"/>
      </w:rPr>
      <w:t>44</w:t>
    </w:r>
    <w:r w:rsidRPr="000E4D0E">
      <w:rPr>
        <w:rFonts w:ascii="Arial" w:hAnsi="Arial" w:cs="Arial"/>
        <w:sz w:val="16"/>
        <w:szCs w:val="16"/>
      </w:rPr>
      <w:t>-201</w:t>
    </w:r>
    <w:r>
      <w:rPr>
        <w:rFonts w:ascii="Arial" w:hAnsi="Arial" w:cs="Arial"/>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9A8" w:rsidRDefault="00B239A8">
      <w:r>
        <w:separator/>
      </w:r>
    </w:p>
  </w:footnote>
  <w:footnote w:type="continuationSeparator" w:id="0">
    <w:p w:rsidR="00B239A8" w:rsidRDefault="00B239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6"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7" w15:restartNumberingAfterBreak="0">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8"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
  </w:num>
  <w:num w:numId="3">
    <w:abstractNumId w:val="7"/>
  </w:num>
  <w:num w:numId="4">
    <w:abstractNumId w:val="6"/>
  </w:num>
  <w:num w:numId="5">
    <w:abstractNumId w:val="10"/>
  </w:num>
  <w:num w:numId="6">
    <w:abstractNumId w:val="11"/>
  </w:num>
  <w:num w:numId="7">
    <w:abstractNumId w:val="9"/>
  </w:num>
  <w:num w:numId="8">
    <w:abstractNumId w:val="3"/>
  </w:num>
  <w:num w:numId="9">
    <w:abstractNumId w:val="10"/>
  </w:num>
  <w:num w:numId="10">
    <w:abstractNumId w:val="4"/>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113BF"/>
    <w:rsid w:val="00017D52"/>
    <w:rsid w:val="00023368"/>
    <w:rsid w:val="00044381"/>
    <w:rsid w:val="00056DF1"/>
    <w:rsid w:val="00086B71"/>
    <w:rsid w:val="00086FDE"/>
    <w:rsid w:val="000A1538"/>
    <w:rsid w:val="000B1B61"/>
    <w:rsid w:val="000C21A9"/>
    <w:rsid w:val="000D40F5"/>
    <w:rsid w:val="000E4D0E"/>
    <w:rsid w:val="000E553E"/>
    <w:rsid w:val="000E6CA4"/>
    <w:rsid w:val="000F7B90"/>
    <w:rsid w:val="00116728"/>
    <w:rsid w:val="00127A95"/>
    <w:rsid w:val="0014000E"/>
    <w:rsid w:val="001434F3"/>
    <w:rsid w:val="0014624B"/>
    <w:rsid w:val="00176A56"/>
    <w:rsid w:val="001947E5"/>
    <w:rsid w:val="001A3A35"/>
    <w:rsid w:val="001A50D1"/>
    <w:rsid w:val="0020261D"/>
    <w:rsid w:val="00217515"/>
    <w:rsid w:val="00217CBB"/>
    <w:rsid w:val="002229E4"/>
    <w:rsid w:val="0022685C"/>
    <w:rsid w:val="0022738C"/>
    <w:rsid w:val="002414D1"/>
    <w:rsid w:val="002475EE"/>
    <w:rsid w:val="00247EEC"/>
    <w:rsid w:val="00263D33"/>
    <w:rsid w:val="00266123"/>
    <w:rsid w:val="00290529"/>
    <w:rsid w:val="0029227D"/>
    <w:rsid w:val="002A5B40"/>
    <w:rsid w:val="002D099D"/>
    <w:rsid w:val="002F35E5"/>
    <w:rsid w:val="003140A0"/>
    <w:rsid w:val="003213E6"/>
    <w:rsid w:val="00324B00"/>
    <w:rsid w:val="0035011C"/>
    <w:rsid w:val="00350E6D"/>
    <w:rsid w:val="003567CE"/>
    <w:rsid w:val="0037183B"/>
    <w:rsid w:val="00392248"/>
    <w:rsid w:val="003C1BEC"/>
    <w:rsid w:val="003D04C9"/>
    <w:rsid w:val="003D226C"/>
    <w:rsid w:val="003D57D1"/>
    <w:rsid w:val="00402F86"/>
    <w:rsid w:val="00404DC4"/>
    <w:rsid w:val="0043609A"/>
    <w:rsid w:val="00442A1C"/>
    <w:rsid w:val="004449D1"/>
    <w:rsid w:val="00447EA3"/>
    <w:rsid w:val="004846FB"/>
    <w:rsid w:val="004854EF"/>
    <w:rsid w:val="004B57CC"/>
    <w:rsid w:val="004B7152"/>
    <w:rsid w:val="0050756C"/>
    <w:rsid w:val="0052365A"/>
    <w:rsid w:val="00532CBA"/>
    <w:rsid w:val="00547B4E"/>
    <w:rsid w:val="00556F6E"/>
    <w:rsid w:val="00567EA0"/>
    <w:rsid w:val="005914F5"/>
    <w:rsid w:val="00597143"/>
    <w:rsid w:val="005A66CC"/>
    <w:rsid w:val="005B3CED"/>
    <w:rsid w:val="005C6EEC"/>
    <w:rsid w:val="005D27BD"/>
    <w:rsid w:val="005E2655"/>
    <w:rsid w:val="00601F79"/>
    <w:rsid w:val="00645D82"/>
    <w:rsid w:val="00676D81"/>
    <w:rsid w:val="0068354A"/>
    <w:rsid w:val="00690995"/>
    <w:rsid w:val="0069176A"/>
    <w:rsid w:val="00694B11"/>
    <w:rsid w:val="00694C24"/>
    <w:rsid w:val="00694D41"/>
    <w:rsid w:val="00695615"/>
    <w:rsid w:val="006C104A"/>
    <w:rsid w:val="006D76D0"/>
    <w:rsid w:val="006F2C73"/>
    <w:rsid w:val="00723470"/>
    <w:rsid w:val="00743EC6"/>
    <w:rsid w:val="007446F0"/>
    <w:rsid w:val="00746401"/>
    <w:rsid w:val="00752D79"/>
    <w:rsid w:val="00754403"/>
    <w:rsid w:val="00767E92"/>
    <w:rsid w:val="00772B69"/>
    <w:rsid w:val="00795157"/>
    <w:rsid w:val="007A0CCC"/>
    <w:rsid w:val="007B3D06"/>
    <w:rsid w:val="007D18A0"/>
    <w:rsid w:val="007E1188"/>
    <w:rsid w:val="007E1D7D"/>
    <w:rsid w:val="00800CB2"/>
    <w:rsid w:val="0081206A"/>
    <w:rsid w:val="00817D16"/>
    <w:rsid w:val="0085285C"/>
    <w:rsid w:val="00862C47"/>
    <w:rsid w:val="0087448D"/>
    <w:rsid w:val="00876971"/>
    <w:rsid w:val="00894F91"/>
    <w:rsid w:val="008C341D"/>
    <w:rsid w:val="008C544C"/>
    <w:rsid w:val="008D413F"/>
    <w:rsid w:val="008F5755"/>
    <w:rsid w:val="00930DD0"/>
    <w:rsid w:val="00954C3F"/>
    <w:rsid w:val="009728D9"/>
    <w:rsid w:val="009776C2"/>
    <w:rsid w:val="009B3814"/>
    <w:rsid w:val="009C1530"/>
    <w:rsid w:val="009C4653"/>
    <w:rsid w:val="009C5B3D"/>
    <w:rsid w:val="009E79AB"/>
    <w:rsid w:val="009F137F"/>
    <w:rsid w:val="009F37D8"/>
    <w:rsid w:val="00A03683"/>
    <w:rsid w:val="00A0695A"/>
    <w:rsid w:val="00A20793"/>
    <w:rsid w:val="00A31225"/>
    <w:rsid w:val="00A32815"/>
    <w:rsid w:val="00A362BB"/>
    <w:rsid w:val="00A921B9"/>
    <w:rsid w:val="00A950C5"/>
    <w:rsid w:val="00A96667"/>
    <w:rsid w:val="00AC3F95"/>
    <w:rsid w:val="00AC5DEA"/>
    <w:rsid w:val="00AD46FB"/>
    <w:rsid w:val="00AF62DA"/>
    <w:rsid w:val="00B239A8"/>
    <w:rsid w:val="00B26B57"/>
    <w:rsid w:val="00B36D05"/>
    <w:rsid w:val="00B67987"/>
    <w:rsid w:val="00BA13B6"/>
    <w:rsid w:val="00BB0811"/>
    <w:rsid w:val="00BB7F7D"/>
    <w:rsid w:val="00BD0D9E"/>
    <w:rsid w:val="00C04840"/>
    <w:rsid w:val="00C159A6"/>
    <w:rsid w:val="00C46E8D"/>
    <w:rsid w:val="00C73BC4"/>
    <w:rsid w:val="00C77BA5"/>
    <w:rsid w:val="00C955CD"/>
    <w:rsid w:val="00CA3617"/>
    <w:rsid w:val="00CB3B7D"/>
    <w:rsid w:val="00CE0B73"/>
    <w:rsid w:val="00CE7532"/>
    <w:rsid w:val="00CF7455"/>
    <w:rsid w:val="00D42C82"/>
    <w:rsid w:val="00D54475"/>
    <w:rsid w:val="00D66F27"/>
    <w:rsid w:val="00D7096C"/>
    <w:rsid w:val="00D84548"/>
    <w:rsid w:val="00DA5691"/>
    <w:rsid w:val="00DA6F8E"/>
    <w:rsid w:val="00DE6008"/>
    <w:rsid w:val="00E36CF8"/>
    <w:rsid w:val="00E47D4F"/>
    <w:rsid w:val="00E83936"/>
    <w:rsid w:val="00E86CB4"/>
    <w:rsid w:val="00EF2CC8"/>
    <w:rsid w:val="00F03FE3"/>
    <w:rsid w:val="00F11109"/>
    <w:rsid w:val="00F40700"/>
    <w:rsid w:val="00F43541"/>
    <w:rsid w:val="00F56C2B"/>
    <w:rsid w:val="00F96D19"/>
    <w:rsid w:val="00FA19B4"/>
    <w:rsid w:val="00FA26A8"/>
    <w:rsid w:val="00FA4A48"/>
    <w:rsid w:val="00FA7647"/>
    <w:rsid w:val="00FB073A"/>
    <w:rsid w:val="00FB6B37"/>
    <w:rsid w:val="00FC362B"/>
    <w:rsid w:val="00FD74F8"/>
    <w:rsid w:val="00FF0DFD"/>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CAD0A618-CCDE-41A5-9FF9-DA136F662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2811-873C-494C-A132-F28DC548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1273</Words>
  <Characters>7257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client801_11</cp:lastModifiedBy>
  <cp:revision>145</cp:revision>
  <dcterms:created xsi:type="dcterms:W3CDTF">2015-11-11T06:24:00Z</dcterms:created>
  <dcterms:modified xsi:type="dcterms:W3CDTF">2019-09-24T08:13:00Z</dcterms:modified>
</cp:coreProperties>
</file>